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3785" w14:textId="705A1D3D" w:rsidR="00B25A8E" w:rsidRPr="00A014A8" w:rsidRDefault="00B25A8E" w:rsidP="00B25A8E">
      <w:pPr>
        <w:jc w:val="center"/>
        <w:rPr>
          <w:b/>
          <w:bCs/>
        </w:rPr>
      </w:pPr>
      <w:bookmarkStart w:id="0" w:name="_GoBack"/>
      <w:bookmarkEnd w:id="0"/>
      <w:r w:rsidRPr="00BC6F45">
        <w:rPr>
          <w:b/>
          <w:bCs/>
        </w:rPr>
        <w:t>Invitation to a strategy consultation</w:t>
      </w:r>
    </w:p>
    <w:p w14:paraId="61348916" w14:textId="56EC14B9" w:rsidR="00B25A8E" w:rsidRDefault="00B25A8E" w:rsidP="00B25A8E">
      <w:pPr>
        <w:jc w:val="center"/>
        <w:rPr>
          <w:b/>
          <w:bCs/>
        </w:rPr>
      </w:pPr>
      <w:r w:rsidRPr="00B25A8E">
        <w:rPr>
          <w:b/>
          <w:bCs/>
        </w:rPr>
        <w:t>Youth Endowment Fund</w:t>
      </w:r>
    </w:p>
    <w:p w14:paraId="39E3F073" w14:textId="788C2D30" w:rsidR="00B25A8E" w:rsidRDefault="00B25A8E" w:rsidP="00B25A8E">
      <w:pPr>
        <w:jc w:val="center"/>
        <w:rPr>
          <w:b/>
          <w:bCs/>
        </w:rPr>
      </w:pPr>
    </w:p>
    <w:p w14:paraId="34AE7A3B" w14:textId="4347D812" w:rsidR="00B25A8E" w:rsidRPr="00A014A8" w:rsidRDefault="00C83782" w:rsidP="00C83782">
      <w:r>
        <w:rPr>
          <w:b/>
          <w:bCs/>
        </w:rPr>
        <w:t xml:space="preserve">Invitation </w:t>
      </w:r>
      <w:r w:rsidR="00A014A8">
        <w:rPr>
          <w:b/>
          <w:bCs/>
        </w:rPr>
        <w:t xml:space="preserve">to a consultation </w:t>
      </w:r>
      <w:r w:rsidRPr="00A014A8">
        <w:t xml:space="preserve">from </w:t>
      </w:r>
      <w:r w:rsidR="00BC6F45" w:rsidRPr="00A014A8">
        <w:t xml:space="preserve">London </w:t>
      </w:r>
      <w:r w:rsidRPr="00A014A8">
        <w:t xml:space="preserve">Youth Justice Strategic Leaders to </w:t>
      </w:r>
    </w:p>
    <w:p w14:paraId="26E4CB69" w14:textId="1EEE237C" w:rsidR="00C83782" w:rsidRPr="00A014A8" w:rsidRDefault="00C83782" w:rsidP="00C83782">
      <w:r w:rsidRPr="00A014A8">
        <w:t>Heads of Community services</w:t>
      </w:r>
    </w:p>
    <w:p w14:paraId="30D41DCB" w14:textId="1C61B569" w:rsidR="00C83782" w:rsidRPr="00A014A8" w:rsidRDefault="00C83782" w:rsidP="00C83782">
      <w:r w:rsidRPr="00A014A8">
        <w:t>Strategic education leads</w:t>
      </w:r>
    </w:p>
    <w:p w14:paraId="6B793D0E" w14:textId="76B08B53" w:rsidR="00C83782" w:rsidRDefault="00C83782" w:rsidP="00C83782">
      <w:pPr>
        <w:rPr>
          <w:b/>
          <w:bCs/>
        </w:rPr>
      </w:pPr>
      <w:r w:rsidRPr="00A014A8">
        <w:t>DCSs through LIIA</w:t>
      </w:r>
    </w:p>
    <w:p w14:paraId="68E0DDD7" w14:textId="77777777" w:rsidR="00C83782" w:rsidRDefault="00C83782" w:rsidP="00C83782">
      <w:pPr>
        <w:rPr>
          <w:b/>
          <w:bCs/>
        </w:rPr>
      </w:pPr>
    </w:p>
    <w:p w14:paraId="78079FE6" w14:textId="3EA869C1" w:rsidR="00A014A8" w:rsidRDefault="00BC6F45" w:rsidP="00A014A8">
      <w:pPr>
        <w:jc w:val="center"/>
        <w:rPr>
          <w:b/>
          <w:bCs/>
        </w:rPr>
      </w:pPr>
      <w:r>
        <w:rPr>
          <w:b/>
          <w:bCs/>
        </w:rPr>
        <w:t>Thursday 12</w:t>
      </w:r>
      <w:r w:rsidRPr="00BC6F45">
        <w:rPr>
          <w:b/>
          <w:bCs/>
          <w:vertAlign w:val="superscript"/>
        </w:rPr>
        <w:t>th</w:t>
      </w:r>
      <w:r>
        <w:rPr>
          <w:b/>
          <w:bCs/>
        </w:rPr>
        <w:t xml:space="preserve"> November 2-330</w:t>
      </w:r>
      <w:r w:rsidR="00A014A8">
        <w:rPr>
          <w:b/>
          <w:bCs/>
        </w:rPr>
        <w:t xml:space="preserve"> via MS TEAMS </w:t>
      </w:r>
    </w:p>
    <w:p w14:paraId="5DEDF837" w14:textId="77777777" w:rsidR="00B702A2" w:rsidRDefault="00B702A2" w:rsidP="00A014A8">
      <w:pPr>
        <w:jc w:val="center"/>
        <w:rPr>
          <w:b/>
          <w:bCs/>
        </w:rPr>
      </w:pPr>
    </w:p>
    <w:p w14:paraId="0735DD55" w14:textId="5061EF5F" w:rsidR="00A014A8" w:rsidRDefault="00A014A8" w:rsidP="00C83782">
      <w:pPr>
        <w:rPr>
          <w:b/>
          <w:bCs/>
        </w:rPr>
      </w:pPr>
      <w:r>
        <w:rPr>
          <w:b/>
          <w:bCs/>
        </w:rPr>
        <w:t>Youth Endowment Fund</w:t>
      </w:r>
      <w:r w:rsidR="00B702A2">
        <w:rPr>
          <w:b/>
          <w:bCs/>
        </w:rPr>
        <w:t xml:space="preserve"> </w:t>
      </w:r>
      <w:proofErr w:type="gramStart"/>
      <w:r w:rsidR="00B702A2">
        <w:rPr>
          <w:b/>
          <w:bCs/>
        </w:rPr>
        <w:t xml:space="preserve">introduction </w:t>
      </w:r>
      <w:r>
        <w:rPr>
          <w:b/>
          <w:bCs/>
        </w:rPr>
        <w:t>.</w:t>
      </w:r>
      <w:proofErr w:type="gramEnd"/>
      <w:r>
        <w:rPr>
          <w:b/>
          <w:bCs/>
        </w:rPr>
        <w:t xml:space="preserve"> </w:t>
      </w:r>
      <w:hyperlink r:id="rId5" w:history="1">
        <w:r w:rsidRPr="00A014A8">
          <w:rPr>
            <w:rStyle w:val="Hyperlink"/>
            <w:b/>
            <w:bCs/>
          </w:rPr>
          <w:t>YEF further information</w:t>
        </w:r>
      </w:hyperlink>
    </w:p>
    <w:p w14:paraId="23EF56B9" w14:textId="77777777" w:rsidR="00BC6F45" w:rsidRDefault="00BC6F45" w:rsidP="00C83782">
      <w:pPr>
        <w:rPr>
          <w:b/>
          <w:bCs/>
        </w:rPr>
      </w:pPr>
    </w:p>
    <w:p w14:paraId="71361B05" w14:textId="5D65585B" w:rsidR="00C83782" w:rsidRPr="00C83782" w:rsidRDefault="00BC6F45" w:rsidP="00C83782">
      <w:pPr>
        <w:rPr>
          <w:rFonts w:ascii="Calibri" w:eastAsia="Times New Roman" w:hAnsi="Calibri" w:cs="Calibri"/>
          <w:i/>
          <w:iCs/>
          <w:color w:val="000000"/>
          <w:sz w:val="22"/>
          <w:szCs w:val="22"/>
          <w:lang w:eastAsia="en-GB"/>
        </w:rPr>
      </w:pPr>
      <w:r w:rsidRPr="00A014A8">
        <w:rPr>
          <w:rFonts w:ascii="Calibri" w:eastAsia="Times New Roman" w:hAnsi="Calibri" w:cs="Calibri"/>
          <w:i/>
          <w:iCs/>
          <w:color w:val="000000"/>
          <w:sz w:val="22"/>
          <w:szCs w:val="22"/>
          <w:lang w:eastAsia="en-GB"/>
        </w:rPr>
        <w:t xml:space="preserve">YEF </w:t>
      </w:r>
      <w:proofErr w:type="gramStart"/>
      <w:r w:rsidRPr="00A014A8">
        <w:rPr>
          <w:rFonts w:ascii="Calibri" w:eastAsia="Times New Roman" w:hAnsi="Calibri" w:cs="Calibri"/>
          <w:i/>
          <w:iCs/>
          <w:color w:val="000000"/>
          <w:sz w:val="22"/>
          <w:szCs w:val="22"/>
          <w:lang w:eastAsia="en-GB"/>
        </w:rPr>
        <w:t xml:space="preserve">is </w:t>
      </w:r>
      <w:r w:rsidR="00C83782" w:rsidRPr="00C83782">
        <w:rPr>
          <w:rFonts w:ascii="Calibri" w:eastAsia="Times New Roman" w:hAnsi="Calibri" w:cs="Calibri"/>
          <w:i/>
          <w:iCs/>
          <w:color w:val="000000"/>
          <w:sz w:val="22"/>
          <w:szCs w:val="22"/>
          <w:lang w:eastAsia="en-GB"/>
        </w:rPr>
        <w:t xml:space="preserve"> a</w:t>
      </w:r>
      <w:proofErr w:type="gramEnd"/>
      <w:r w:rsidR="00C83782" w:rsidRPr="00C83782">
        <w:rPr>
          <w:rFonts w:ascii="Calibri" w:eastAsia="Times New Roman" w:hAnsi="Calibri" w:cs="Calibri"/>
          <w:i/>
          <w:iCs/>
          <w:color w:val="000000"/>
          <w:sz w:val="22"/>
          <w:szCs w:val="22"/>
          <w:lang w:eastAsia="en-GB"/>
        </w:rPr>
        <w:t xml:space="preserve"> charity set up last year with a £200 million endowment from the Home Office with a mission to prevent children and young people across becoming involved in violence.  </w:t>
      </w:r>
      <w:hyperlink r:id="rId6" w:history="1">
        <w:r w:rsidR="00C83782" w:rsidRPr="00C83782">
          <w:rPr>
            <w:rFonts w:ascii="Calibri" w:eastAsia="Times New Roman" w:hAnsi="Calibri" w:cs="Calibri"/>
            <w:i/>
            <w:iCs/>
            <w:color w:val="0563C1"/>
            <w:sz w:val="22"/>
            <w:szCs w:val="22"/>
            <w:u w:val="single"/>
            <w:lang w:eastAsia="en-GB"/>
          </w:rPr>
          <w:t>our strategy</w:t>
        </w:r>
      </w:hyperlink>
      <w:r w:rsidR="00C83782" w:rsidRPr="00C83782">
        <w:rPr>
          <w:rFonts w:ascii="Calibri" w:eastAsia="Times New Roman" w:hAnsi="Calibri" w:cs="Calibri"/>
          <w:i/>
          <w:iCs/>
          <w:color w:val="000000"/>
          <w:sz w:val="22"/>
          <w:szCs w:val="22"/>
          <w:lang w:eastAsia="en-GB"/>
        </w:rPr>
        <w:t xml:space="preserve"> explains exactly how we plan to achieve that goal.</w:t>
      </w:r>
    </w:p>
    <w:p w14:paraId="43B782A8" w14:textId="77777777" w:rsidR="00C83782" w:rsidRPr="00C83782" w:rsidRDefault="00C83782" w:rsidP="00C83782">
      <w:pPr>
        <w:rPr>
          <w:rFonts w:ascii="Calibri" w:eastAsia="Times New Roman" w:hAnsi="Calibri" w:cs="Calibri"/>
          <w:i/>
          <w:iCs/>
          <w:color w:val="000000"/>
          <w:sz w:val="22"/>
          <w:szCs w:val="22"/>
          <w:lang w:eastAsia="en-GB"/>
        </w:rPr>
      </w:pPr>
      <w:r w:rsidRPr="00C83782">
        <w:rPr>
          <w:rFonts w:ascii="Calibri" w:eastAsia="Times New Roman" w:hAnsi="Calibri" w:cs="Calibri"/>
          <w:i/>
          <w:iCs/>
          <w:color w:val="000000"/>
          <w:sz w:val="22"/>
          <w:szCs w:val="22"/>
          <w:lang w:eastAsia="en-GB"/>
        </w:rPr>
        <w:t> </w:t>
      </w:r>
    </w:p>
    <w:p w14:paraId="721C39F9" w14:textId="77777777" w:rsidR="00C83782" w:rsidRPr="00C83782" w:rsidRDefault="00C83782" w:rsidP="00C83782">
      <w:pPr>
        <w:rPr>
          <w:rFonts w:ascii="Calibri" w:eastAsia="Times New Roman" w:hAnsi="Calibri" w:cs="Calibri"/>
          <w:i/>
          <w:iCs/>
          <w:color w:val="000000"/>
          <w:sz w:val="22"/>
          <w:szCs w:val="22"/>
          <w:lang w:eastAsia="en-GB"/>
        </w:rPr>
      </w:pPr>
      <w:r w:rsidRPr="00C83782">
        <w:rPr>
          <w:rFonts w:ascii="Calibri" w:eastAsia="Times New Roman" w:hAnsi="Calibri" w:cs="Calibri"/>
          <w:i/>
          <w:iCs/>
          <w:color w:val="000000"/>
          <w:sz w:val="22"/>
          <w:szCs w:val="22"/>
          <w:lang w:eastAsia="en-GB"/>
        </w:rPr>
        <w:t>It’s an ambitious long-term plan to use evidence, expertise and young people's voices to make children’s lives safer. It sets out how we’ll spend £200 million over ten years, to fund projects that help us learn more about what works to prevent children becoming involved in violence. And it explains how we’ll make sure that this knowledge is put into practice, so that services for children and young people are the best they can possibly be. We’ll do it by building networks – across community and youth charities, local authorities, education, the police and health – all striving together for change.</w:t>
      </w:r>
    </w:p>
    <w:p w14:paraId="3FE90895" w14:textId="77777777" w:rsidR="00C83782" w:rsidRPr="00C83782" w:rsidRDefault="00C83782" w:rsidP="00C83782">
      <w:pPr>
        <w:rPr>
          <w:rFonts w:ascii="Calibri" w:eastAsia="Times New Roman" w:hAnsi="Calibri" w:cs="Calibri"/>
          <w:i/>
          <w:iCs/>
          <w:color w:val="000000"/>
          <w:sz w:val="22"/>
          <w:szCs w:val="22"/>
          <w:lang w:eastAsia="en-GB"/>
        </w:rPr>
      </w:pPr>
      <w:r w:rsidRPr="00C83782">
        <w:rPr>
          <w:rFonts w:ascii="Calibri" w:eastAsia="Times New Roman" w:hAnsi="Calibri" w:cs="Calibri"/>
          <w:i/>
          <w:iCs/>
          <w:color w:val="000000"/>
          <w:sz w:val="22"/>
          <w:szCs w:val="22"/>
          <w:lang w:eastAsia="en-GB"/>
        </w:rPr>
        <w:t> </w:t>
      </w:r>
    </w:p>
    <w:p w14:paraId="69FB112C" w14:textId="77777777" w:rsidR="00C83782" w:rsidRPr="00C83782" w:rsidRDefault="00C83782" w:rsidP="00C83782">
      <w:pPr>
        <w:rPr>
          <w:rFonts w:ascii="Calibri" w:eastAsia="Times New Roman" w:hAnsi="Calibri" w:cs="Calibri"/>
          <w:i/>
          <w:iCs/>
          <w:color w:val="000000"/>
          <w:sz w:val="22"/>
          <w:szCs w:val="22"/>
          <w:lang w:eastAsia="en-GB"/>
        </w:rPr>
      </w:pPr>
      <w:r w:rsidRPr="00C83782">
        <w:rPr>
          <w:rFonts w:ascii="Calibri" w:eastAsia="Times New Roman" w:hAnsi="Calibri" w:cs="Calibri"/>
          <w:i/>
          <w:iCs/>
          <w:color w:val="000000"/>
          <w:sz w:val="22"/>
          <w:szCs w:val="22"/>
          <w:lang w:eastAsia="en-GB"/>
        </w:rPr>
        <w:t>To put this plan into action, we want to work closely with everyone working in youth justice and children’s services.</w:t>
      </w:r>
    </w:p>
    <w:p w14:paraId="5FCEA50A" w14:textId="77777777" w:rsidR="00C83782" w:rsidRPr="00C83782" w:rsidRDefault="00C83782" w:rsidP="00C83782">
      <w:pPr>
        <w:rPr>
          <w:rFonts w:ascii="Calibri" w:eastAsia="Times New Roman" w:hAnsi="Calibri" w:cs="Calibri"/>
          <w:i/>
          <w:iCs/>
          <w:color w:val="000000"/>
          <w:sz w:val="22"/>
          <w:szCs w:val="22"/>
          <w:lang w:eastAsia="en-GB"/>
        </w:rPr>
      </w:pPr>
      <w:r w:rsidRPr="00C83782">
        <w:rPr>
          <w:rFonts w:ascii="Calibri" w:eastAsia="Times New Roman" w:hAnsi="Calibri" w:cs="Calibri"/>
          <w:i/>
          <w:iCs/>
          <w:color w:val="000000"/>
          <w:sz w:val="22"/>
          <w:szCs w:val="22"/>
          <w:lang w:eastAsia="en-GB"/>
        </w:rPr>
        <w:t> </w:t>
      </w:r>
    </w:p>
    <w:p w14:paraId="159E6B98" w14:textId="77777777" w:rsidR="00C83782" w:rsidRPr="00C83782" w:rsidRDefault="00C83782" w:rsidP="00C83782">
      <w:pPr>
        <w:jc w:val="both"/>
        <w:textAlignment w:val="baseline"/>
        <w:rPr>
          <w:rFonts w:ascii="Times New Roman" w:eastAsia="Times New Roman" w:hAnsi="Times New Roman" w:cs="Times New Roman"/>
          <w:b/>
          <w:bCs/>
          <w:i/>
          <w:iCs/>
          <w:color w:val="000000"/>
          <w:lang w:eastAsia="en-GB"/>
        </w:rPr>
      </w:pPr>
      <w:r w:rsidRPr="00C83782">
        <w:rPr>
          <w:rFonts w:ascii="Calibri" w:eastAsia="Times New Roman" w:hAnsi="Calibri" w:cs="Calibri"/>
          <w:i/>
          <w:iCs/>
          <w:color w:val="000000"/>
          <w:sz w:val="22"/>
          <w:szCs w:val="22"/>
          <w:lang w:eastAsia="en-GB"/>
        </w:rPr>
        <w:t xml:space="preserve">We know that over the next decade, there are a lot of areas we need to cover. Now we need to decide where we’ll start. </w:t>
      </w:r>
      <w:r w:rsidRPr="00C83782">
        <w:rPr>
          <w:rFonts w:ascii="Calibri" w:eastAsia="Times New Roman" w:hAnsi="Calibri" w:cs="Calibri"/>
          <w:b/>
          <w:bCs/>
          <w:i/>
          <w:iCs/>
          <w:color w:val="000000"/>
          <w:sz w:val="22"/>
          <w:szCs w:val="22"/>
          <w:lang w:eastAsia="en-GB"/>
        </w:rPr>
        <w:t>That’s why we’re asking for your help to choose the two theme areas we’ll focus our funding on, from now until 2023. </w:t>
      </w:r>
    </w:p>
    <w:p w14:paraId="79925C77" w14:textId="77777777" w:rsidR="00C83782" w:rsidRPr="00C83782" w:rsidRDefault="00C83782" w:rsidP="00C83782">
      <w:pPr>
        <w:jc w:val="both"/>
        <w:textAlignment w:val="baseline"/>
        <w:rPr>
          <w:rFonts w:ascii="Times New Roman" w:eastAsia="Times New Roman" w:hAnsi="Times New Roman" w:cs="Times New Roman"/>
          <w:i/>
          <w:iCs/>
          <w:color w:val="000000"/>
          <w:lang w:eastAsia="en-GB"/>
        </w:rPr>
      </w:pPr>
      <w:r w:rsidRPr="00C83782">
        <w:rPr>
          <w:rFonts w:ascii="Calibri" w:eastAsia="Times New Roman" w:hAnsi="Calibri" w:cs="Calibri"/>
          <w:i/>
          <w:iCs/>
          <w:color w:val="000000"/>
          <w:sz w:val="22"/>
          <w:szCs w:val="22"/>
          <w:lang w:eastAsia="en-GB"/>
        </w:rPr>
        <w:t> </w:t>
      </w:r>
    </w:p>
    <w:p w14:paraId="7EF22E8C" w14:textId="77777777" w:rsidR="00C83782" w:rsidRPr="00C83782" w:rsidRDefault="00C83782" w:rsidP="00C83782">
      <w:pPr>
        <w:jc w:val="both"/>
        <w:textAlignment w:val="baseline"/>
        <w:rPr>
          <w:rFonts w:ascii="Times New Roman" w:eastAsia="Times New Roman" w:hAnsi="Times New Roman" w:cs="Times New Roman"/>
          <w:i/>
          <w:iCs/>
          <w:color w:val="000000"/>
          <w:lang w:eastAsia="en-GB"/>
        </w:rPr>
      </w:pPr>
      <w:r w:rsidRPr="00C83782">
        <w:rPr>
          <w:rFonts w:ascii="Calibri" w:eastAsia="Times New Roman" w:hAnsi="Calibri" w:cs="Calibri"/>
          <w:i/>
          <w:iCs/>
          <w:color w:val="000000"/>
          <w:sz w:val="22"/>
          <w:szCs w:val="22"/>
          <w:lang w:eastAsia="en-GB"/>
        </w:rPr>
        <w:t>We’ve had some really useful conversations with people working across lots of different agencies to keep children and young people safe. And we’ve conducted our own </w:t>
      </w:r>
      <w:hyperlink r:id="rId7" w:history="1">
        <w:r w:rsidRPr="00C83782">
          <w:rPr>
            <w:rFonts w:ascii="Calibri" w:eastAsia="Times New Roman" w:hAnsi="Calibri" w:cs="Calibri"/>
            <w:i/>
            <w:iCs/>
            <w:color w:val="0563C1"/>
            <w:sz w:val="22"/>
            <w:szCs w:val="22"/>
            <w:u w:val="single"/>
            <w:lang w:eastAsia="en-GB"/>
          </w:rPr>
          <w:t>review of the evidence</w:t>
        </w:r>
      </w:hyperlink>
      <w:r w:rsidRPr="00C83782">
        <w:rPr>
          <w:rFonts w:ascii="Calibri" w:eastAsia="Times New Roman" w:hAnsi="Calibri" w:cs="Calibri"/>
          <w:i/>
          <w:iCs/>
          <w:color w:val="000000"/>
          <w:sz w:val="22"/>
          <w:szCs w:val="22"/>
          <w:lang w:eastAsia="en-GB"/>
        </w:rPr>
        <w:t> that’s already out there. We’ve used what we’ve learned to develop some initial ideas about the themed areas where we want to focus our funding in the next three years:</w:t>
      </w:r>
    </w:p>
    <w:p w14:paraId="2BF0B1AA" w14:textId="77777777" w:rsidR="00C83782" w:rsidRPr="00C83782" w:rsidRDefault="00C83782" w:rsidP="00C83782">
      <w:pPr>
        <w:numPr>
          <w:ilvl w:val="0"/>
          <w:numId w:val="1"/>
        </w:numPr>
        <w:spacing w:before="100" w:beforeAutospacing="1" w:after="100" w:afterAutospacing="1"/>
        <w:jc w:val="both"/>
        <w:textAlignment w:val="baseline"/>
        <w:rPr>
          <w:rFonts w:ascii="Times New Roman" w:eastAsia="Times New Roman" w:hAnsi="Times New Roman" w:cs="Times New Roman"/>
          <w:i/>
          <w:iCs/>
          <w:color w:val="000000"/>
          <w:lang w:eastAsia="en-GB"/>
        </w:rPr>
      </w:pPr>
      <w:r w:rsidRPr="00C83782">
        <w:rPr>
          <w:rFonts w:ascii="Calibri" w:eastAsia="Times New Roman" w:hAnsi="Calibri" w:cs="Calibri"/>
          <w:b/>
          <w:bCs/>
          <w:i/>
          <w:iCs/>
          <w:color w:val="000000"/>
          <w:sz w:val="22"/>
          <w:szCs w:val="22"/>
          <w:lang w:eastAsia="en-GB"/>
        </w:rPr>
        <w:t>Shut out at school</w:t>
      </w:r>
      <w:r w:rsidRPr="00C83782">
        <w:rPr>
          <w:rFonts w:ascii="Calibri" w:eastAsia="Times New Roman" w:hAnsi="Calibri" w:cs="Calibri"/>
          <w:i/>
          <w:iCs/>
          <w:color w:val="000000"/>
          <w:sz w:val="22"/>
          <w:szCs w:val="22"/>
          <w:lang w:eastAsia="en-GB"/>
        </w:rPr>
        <w:t>: This theme would ask which approaches work best to prevent school absences, anti-social behaviour and exclusion from mainstream school, all of which are linked to involvement in violence later in a child’s life.</w:t>
      </w:r>
    </w:p>
    <w:p w14:paraId="4BDC8386" w14:textId="77777777" w:rsidR="00C83782" w:rsidRPr="00C83782" w:rsidRDefault="00C83782" w:rsidP="00C83782">
      <w:pPr>
        <w:numPr>
          <w:ilvl w:val="0"/>
          <w:numId w:val="1"/>
        </w:numPr>
        <w:spacing w:before="100" w:beforeAutospacing="1" w:after="100" w:afterAutospacing="1"/>
        <w:jc w:val="both"/>
        <w:textAlignment w:val="baseline"/>
        <w:rPr>
          <w:rFonts w:ascii="Times New Roman" w:eastAsia="Times New Roman" w:hAnsi="Times New Roman" w:cs="Times New Roman"/>
          <w:i/>
          <w:iCs/>
          <w:color w:val="000000"/>
          <w:lang w:eastAsia="en-GB"/>
        </w:rPr>
      </w:pPr>
      <w:r w:rsidRPr="00C83782">
        <w:rPr>
          <w:rFonts w:ascii="Calibri" w:eastAsia="Times New Roman" w:hAnsi="Calibri" w:cs="Calibri"/>
          <w:b/>
          <w:bCs/>
          <w:i/>
          <w:iCs/>
          <w:color w:val="000000"/>
          <w:sz w:val="22"/>
          <w:szCs w:val="22"/>
          <w:lang w:eastAsia="en-GB"/>
        </w:rPr>
        <w:t>Diverting from the criminal justice system</w:t>
      </w:r>
      <w:r w:rsidRPr="00C83782">
        <w:rPr>
          <w:rFonts w:ascii="Calibri" w:eastAsia="Times New Roman" w:hAnsi="Calibri" w:cs="Calibri"/>
          <w:i/>
          <w:iCs/>
          <w:color w:val="000000"/>
          <w:sz w:val="22"/>
          <w:szCs w:val="22"/>
          <w:lang w:eastAsia="en-GB"/>
        </w:rPr>
        <w:t>: This theme would ask which approaches work best to support those children and young people who are already involved in crime or who are most at risk. They could involve individual, family or community support at critical points in a child’s life; for example, after they’ve been arrested or admitted into A&amp;E following a violent assault.</w:t>
      </w:r>
    </w:p>
    <w:p w14:paraId="65AE916E" w14:textId="77777777" w:rsidR="00C83782" w:rsidRPr="00C83782" w:rsidRDefault="00C83782" w:rsidP="00C83782">
      <w:pPr>
        <w:spacing w:before="100" w:beforeAutospacing="1" w:after="100" w:afterAutospacing="1"/>
        <w:jc w:val="both"/>
        <w:textAlignment w:val="baseline"/>
        <w:rPr>
          <w:rFonts w:ascii="Times New Roman" w:eastAsia="Times New Roman" w:hAnsi="Times New Roman" w:cs="Times New Roman"/>
          <w:i/>
          <w:iCs/>
          <w:color w:val="000000"/>
          <w:lang w:eastAsia="en-GB"/>
        </w:rPr>
      </w:pPr>
      <w:r w:rsidRPr="00C83782">
        <w:rPr>
          <w:rFonts w:ascii="Calibri" w:eastAsia="Times New Roman" w:hAnsi="Calibri" w:cs="Calibri"/>
          <w:i/>
          <w:iCs/>
          <w:color w:val="000000"/>
          <w:sz w:val="22"/>
          <w:szCs w:val="22"/>
          <w:lang w:eastAsia="en-GB"/>
        </w:rPr>
        <w:t>We want you to tell us, based on your experience and expertise, what you think. Have we included the right things in the scope of those themes? What have we missed? What should we do better?</w:t>
      </w:r>
    </w:p>
    <w:p w14:paraId="32E0A6A3" w14:textId="77777777" w:rsidR="00B702A2" w:rsidRDefault="00B702A2" w:rsidP="00C83782">
      <w:pPr>
        <w:rPr>
          <w:b/>
          <w:bCs/>
        </w:rPr>
      </w:pPr>
    </w:p>
    <w:p w14:paraId="270B6C26" w14:textId="77777777" w:rsidR="00B702A2" w:rsidRDefault="00B702A2" w:rsidP="00C83782">
      <w:pPr>
        <w:rPr>
          <w:b/>
          <w:bCs/>
        </w:rPr>
      </w:pPr>
    </w:p>
    <w:p w14:paraId="58440423" w14:textId="77777777" w:rsidR="00B702A2" w:rsidRDefault="00B702A2" w:rsidP="00C83782">
      <w:pPr>
        <w:rPr>
          <w:b/>
          <w:bCs/>
        </w:rPr>
      </w:pPr>
    </w:p>
    <w:p w14:paraId="321F1D73" w14:textId="7C40AD44" w:rsidR="00A014A8" w:rsidRDefault="00A014A8" w:rsidP="00C83782">
      <w:pPr>
        <w:rPr>
          <w:b/>
          <w:bCs/>
        </w:rPr>
      </w:pPr>
      <w:r>
        <w:rPr>
          <w:b/>
          <w:bCs/>
        </w:rPr>
        <w:lastRenderedPageBreak/>
        <w:t>Format of workshop</w:t>
      </w:r>
    </w:p>
    <w:p w14:paraId="1B42A869" w14:textId="22ACDC4C" w:rsidR="00A014A8" w:rsidRPr="00B702A2" w:rsidRDefault="00A014A8" w:rsidP="00C83782"/>
    <w:p w14:paraId="5C8C1837" w14:textId="1B51B1BB" w:rsidR="00A014A8" w:rsidRPr="00B702A2" w:rsidRDefault="00A014A8" w:rsidP="00C83782">
      <w:r w:rsidRPr="00B702A2">
        <w:t xml:space="preserve">2.00 </w:t>
      </w:r>
      <w:r w:rsidRPr="00B702A2">
        <w:tab/>
      </w:r>
      <w:proofErr w:type="gramStart"/>
      <w:r w:rsidRPr="00B702A2">
        <w:t>Welcomes  by</w:t>
      </w:r>
      <w:proofErr w:type="gramEnd"/>
      <w:r w:rsidRPr="00B702A2">
        <w:t xml:space="preserve"> Geeta Subramaniam,  Corporate Director  LB Newham </w:t>
      </w:r>
    </w:p>
    <w:p w14:paraId="1F808231" w14:textId="77777777" w:rsidR="00B702A2" w:rsidRPr="00B702A2" w:rsidRDefault="00B702A2" w:rsidP="00C83782"/>
    <w:p w14:paraId="283CA4FB" w14:textId="445F8510" w:rsidR="00A014A8" w:rsidRPr="00B702A2" w:rsidRDefault="00A014A8" w:rsidP="00C83782">
      <w:r w:rsidRPr="00B702A2">
        <w:t xml:space="preserve">2.05 </w:t>
      </w:r>
      <w:r w:rsidRPr="00B702A2">
        <w:tab/>
        <w:t xml:space="preserve">Setting the scene Laura </w:t>
      </w:r>
      <w:proofErr w:type="gramStart"/>
      <w:r w:rsidRPr="00B702A2">
        <w:t>Russell ,</w:t>
      </w:r>
      <w:proofErr w:type="gramEnd"/>
      <w:r w:rsidRPr="00B702A2">
        <w:t xml:space="preserve"> YEF </w:t>
      </w:r>
    </w:p>
    <w:p w14:paraId="0914961A" w14:textId="77777777" w:rsidR="00B702A2" w:rsidRPr="00B702A2" w:rsidRDefault="00B702A2" w:rsidP="00C83782"/>
    <w:p w14:paraId="00F74508" w14:textId="200F614D" w:rsidR="00A014A8" w:rsidRPr="00B702A2" w:rsidRDefault="00A014A8" w:rsidP="00C83782">
      <w:r w:rsidRPr="00B702A2">
        <w:t>2.20</w:t>
      </w:r>
      <w:r w:rsidRPr="00B702A2">
        <w:tab/>
        <w:t>Working groups facilitated to gather views and frame proposals</w:t>
      </w:r>
    </w:p>
    <w:p w14:paraId="7E8FFD77" w14:textId="74FBCB9E" w:rsidR="00A014A8" w:rsidRPr="00B702A2" w:rsidRDefault="00A014A8" w:rsidP="00C83782">
      <w:r w:rsidRPr="00B702A2">
        <w:tab/>
      </w:r>
    </w:p>
    <w:p w14:paraId="7359E0CB" w14:textId="40CC229A" w:rsidR="00A014A8" w:rsidRPr="00B702A2" w:rsidRDefault="00A014A8" w:rsidP="00C83782">
      <w:r w:rsidRPr="00B702A2">
        <w:t>2.50</w:t>
      </w:r>
      <w:r w:rsidRPr="00B702A2">
        <w:tab/>
        <w:t xml:space="preserve">Feedback to full workshop chaired by Geeta Subramaniam </w:t>
      </w:r>
    </w:p>
    <w:p w14:paraId="59031B3A" w14:textId="77777777" w:rsidR="00A014A8" w:rsidRPr="00B702A2" w:rsidRDefault="00A014A8" w:rsidP="00C83782"/>
    <w:p w14:paraId="32055709" w14:textId="18FFB311" w:rsidR="00A014A8" w:rsidRPr="00B702A2" w:rsidRDefault="00A014A8" w:rsidP="00C83782">
      <w:r w:rsidRPr="00B702A2">
        <w:t>3.20</w:t>
      </w:r>
      <w:r w:rsidRPr="00B702A2">
        <w:tab/>
        <w:t xml:space="preserve">Next </w:t>
      </w:r>
      <w:proofErr w:type="gramStart"/>
      <w:r w:rsidRPr="00B702A2">
        <w:t>Steps :</w:t>
      </w:r>
      <w:proofErr w:type="gramEnd"/>
      <w:r w:rsidRPr="00B702A2">
        <w:t xml:space="preserve"> Laura Russell</w:t>
      </w:r>
    </w:p>
    <w:p w14:paraId="2485606E" w14:textId="2BD119DA" w:rsidR="00A014A8" w:rsidRPr="00B702A2" w:rsidRDefault="00A014A8" w:rsidP="00C83782"/>
    <w:p w14:paraId="0FD99B63" w14:textId="582A6CE3" w:rsidR="00A014A8" w:rsidRPr="00B702A2" w:rsidRDefault="00A014A8" w:rsidP="00C83782">
      <w:r w:rsidRPr="00B702A2">
        <w:t>3.30</w:t>
      </w:r>
      <w:r w:rsidRPr="00B702A2">
        <w:tab/>
        <w:t>End of session.</w:t>
      </w:r>
    </w:p>
    <w:p w14:paraId="6EA027F0" w14:textId="77777777" w:rsidR="00A014A8" w:rsidRPr="00B702A2" w:rsidRDefault="00A014A8" w:rsidP="00C83782"/>
    <w:p w14:paraId="58070F0C" w14:textId="13FB7E0B" w:rsidR="00C83782" w:rsidRPr="00B702A2" w:rsidRDefault="00A014A8" w:rsidP="00C83782">
      <w:r w:rsidRPr="00B702A2">
        <w:t xml:space="preserve">Book a place by email to </w:t>
      </w:r>
      <w:hyperlink r:id="rId8" w:history="1">
        <w:r w:rsidRPr="00B702A2">
          <w:rPr>
            <w:rStyle w:val="Hyperlink"/>
          </w:rPr>
          <w:t>g.m.robb1953@gmail.com</w:t>
        </w:r>
      </w:hyperlink>
      <w:r w:rsidRPr="00B702A2">
        <w:t xml:space="preserve">     </w:t>
      </w:r>
    </w:p>
    <w:p w14:paraId="3FA99DEA" w14:textId="073BB7B8" w:rsidR="00A014A8" w:rsidRPr="00B702A2" w:rsidRDefault="00A014A8" w:rsidP="00C83782">
      <w:r w:rsidRPr="00B702A2">
        <w:t xml:space="preserve">With Subject Line Label       </w:t>
      </w:r>
      <w:r w:rsidRPr="00B702A2">
        <w:rPr>
          <w:color w:val="FF0000"/>
        </w:rPr>
        <w:t xml:space="preserve">YEF 12 11 </w:t>
      </w:r>
    </w:p>
    <w:p w14:paraId="223F0C86" w14:textId="75CF0FBA" w:rsidR="00B25A8E" w:rsidRDefault="00B25A8E" w:rsidP="00B702A2">
      <w:pPr>
        <w:rPr>
          <w:b/>
          <w:bCs/>
        </w:rPr>
      </w:pPr>
    </w:p>
    <w:p w14:paraId="239B39D3" w14:textId="150612D2" w:rsidR="00B702A2" w:rsidRDefault="00B702A2" w:rsidP="00B25A8E">
      <w:pPr>
        <w:jc w:val="center"/>
        <w:rPr>
          <w:b/>
          <w:bCs/>
        </w:rPr>
      </w:pPr>
    </w:p>
    <w:p w14:paraId="250CBA7D" w14:textId="77777777" w:rsidR="00B702A2" w:rsidRPr="00B25A8E" w:rsidRDefault="00B702A2" w:rsidP="00B25A8E">
      <w:pPr>
        <w:jc w:val="center"/>
        <w:rPr>
          <w:b/>
          <w:bCs/>
        </w:rPr>
      </w:pPr>
    </w:p>
    <w:p w14:paraId="39244BE4" w14:textId="40803BBA" w:rsidR="00B25A8E" w:rsidRDefault="00B25A8E"/>
    <w:p w14:paraId="12801681" w14:textId="77777777" w:rsidR="00B25A8E" w:rsidRDefault="00B25A8E"/>
    <w:sectPr w:rsidR="00B25A8E" w:rsidSect="000033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D3E2A"/>
    <w:multiLevelType w:val="multilevel"/>
    <w:tmpl w:val="31A8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8E"/>
    <w:rsid w:val="00003324"/>
    <w:rsid w:val="00507885"/>
    <w:rsid w:val="00A014A8"/>
    <w:rsid w:val="00B25A8E"/>
    <w:rsid w:val="00B702A2"/>
    <w:rsid w:val="00B70A20"/>
    <w:rsid w:val="00BC6F45"/>
    <w:rsid w:val="00C83782"/>
    <w:rsid w:val="00FE0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1223"/>
  <w15:chartTrackingRefBased/>
  <w15:docId w15:val="{19AEC25B-0EF0-3447-8337-FEBC6CF8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3782"/>
  </w:style>
  <w:style w:type="character" w:styleId="Hyperlink">
    <w:name w:val="Hyperlink"/>
    <w:basedOn w:val="DefaultParagraphFont"/>
    <w:uiPriority w:val="99"/>
    <w:unhideWhenUsed/>
    <w:rsid w:val="00C83782"/>
    <w:rPr>
      <w:color w:val="0000FF"/>
      <w:u w:val="single"/>
    </w:rPr>
  </w:style>
  <w:style w:type="character" w:customStyle="1" w:styleId="normaltextrun">
    <w:name w:val="normaltextrun"/>
    <w:basedOn w:val="DefaultParagraphFont"/>
    <w:rsid w:val="00C83782"/>
  </w:style>
  <w:style w:type="paragraph" w:customStyle="1" w:styleId="paragraph">
    <w:name w:val="paragraph"/>
    <w:basedOn w:val="Normal"/>
    <w:rsid w:val="00C8378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0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robb1953@gmail.com" TargetMode="External"/><Relationship Id="rId3" Type="http://schemas.openxmlformats.org/officeDocument/2006/relationships/settings" Target="settings.xml"/><Relationship Id="rId7" Type="http://schemas.openxmlformats.org/officeDocument/2006/relationships/hyperlink" Target="https://youthendowmentfund.org.uk/latest/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hendowmentfund.org.uk/our-work/our-strategy/" TargetMode="External"/><Relationship Id="rId5" Type="http://schemas.openxmlformats.org/officeDocument/2006/relationships/hyperlink" Target="https://youthendowmentfund.org.uk/grants/get-involv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Robb</dc:creator>
  <cp:keywords/>
  <dc:description/>
  <cp:lastModifiedBy>Rebecca Newbury</cp:lastModifiedBy>
  <cp:revision>2</cp:revision>
  <dcterms:created xsi:type="dcterms:W3CDTF">2020-10-19T11:17:00Z</dcterms:created>
  <dcterms:modified xsi:type="dcterms:W3CDTF">2020-10-19T11:17:00Z</dcterms:modified>
</cp:coreProperties>
</file>